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4A2F">
      <w:pPr>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附件4</w:t>
      </w:r>
    </w:p>
    <w:p w14:paraId="5B520BDA">
      <w:pPr>
        <w:pStyle w:val="6"/>
        <w:bidi w:val="0"/>
        <w:rPr>
          <w:rFonts w:hint="eastAsia"/>
          <w:lang w:val="en-US" w:eastAsia="zh-CN"/>
        </w:rPr>
      </w:pPr>
      <w:r>
        <w:rPr>
          <w:rFonts w:hint="eastAsia"/>
          <w:lang w:val="en-US" w:eastAsia="zh-CN"/>
        </w:rPr>
        <w:t>乡村振兴研究专项申报须知</w:t>
      </w:r>
    </w:p>
    <w:p w14:paraId="424B6A6A">
      <w:pPr>
        <w:rPr>
          <w:rFonts w:hint="eastAsia"/>
          <w:lang w:val="en-US" w:eastAsia="zh-CN"/>
        </w:rPr>
      </w:pPr>
    </w:p>
    <w:p w14:paraId="3D83EAA0">
      <w:pPr>
        <w:rPr>
          <w:rFonts w:hint="eastAsia"/>
          <w:lang w:eastAsia="zh-CN"/>
        </w:rPr>
      </w:pPr>
      <w:r>
        <w:rPr>
          <w:rFonts w:hint="eastAsia"/>
          <w:lang w:eastAsia="zh-CN"/>
        </w:rPr>
        <w:t>乡村振兴研究专项</w:t>
      </w:r>
      <w:r>
        <w:rPr>
          <w:rFonts w:hint="eastAsia"/>
          <w:lang w:val="en-US" w:eastAsia="zh-CN"/>
        </w:rPr>
        <w:t>由</w:t>
      </w:r>
      <w:r>
        <w:rPr>
          <w:rFonts w:hint="eastAsia"/>
          <w:lang w:eastAsia="zh-CN"/>
        </w:rPr>
        <w:t>省社科规划专项小组</w:t>
      </w:r>
      <w:r>
        <w:rPr>
          <w:rFonts w:hint="eastAsia"/>
        </w:rPr>
        <w:t>与中共广东省委农村工作领导小组办公室联合设立</w:t>
      </w:r>
      <w:r>
        <w:rPr>
          <w:rFonts w:hint="eastAsia"/>
          <w:lang w:eastAsia="zh-CN"/>
        </w:rPr>
        <w:t>。</w:t>
      </w:r>
    </w:p>
    <w:p w14:paraId="2412E83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6D7839D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坚持以习近平新时代中国特色社会主义思想为指导，全面</w:t>
      </w:r>
      <w:r>
        <w:rPr>
          <w:rFonts w:hint="eastAsia" w:ascii="仿宋_GB2312" w:hAnsi="仿宋_GB2312" w:eastAsia="仿宋_GB2312" w:cs="仿宋_GB2312"/>
          <w:sz w:val="32"/>
          <w:szCs w:val="32"/>
        </w:rPr>
        <w:t>贯彻落实</w:t>
      </w:r>
      <w:r>
        <w:rPr>
          <w:rFonts w:hint="eastAsia" w:ascii="仿宋_GB2312" w:hAnsi="仿宋_GB2312" w:eastAsia="仿宋_GB2312" w:cs="仿宋_GB2312"/>
          <w:sz w:val="32"/>
          <w:szCs w:val="32"/>
          <w:lang w:val="en-US" w:eastAsia="zh-CN"/>
        </w:rPr>
        <w:t>党的二十大和</w:t>
      </w:r>
      <w:r>
        <w:rPr>
          <w:rFonts w:hint="default" w:ascii="仿宋_GB2312" w:hAnsi="仿宋_GB2312" w:eastAsia="仿宋_GB2312" w:cs="仿宋_GB2312"/>
          <w:sz w:val="32"/>
          <w:szCs w:val="32"/>
          <w:lang w:val="en-US" w:eastAsia="zh-CN"/>
        </w:rPr>
        <w:t>二十届</w:t>
      </w:r>
      <w:r>
        <w:rPr>
          <w:rFonts w:hint="eastAsia" w:ascii="仿宋_GB2312" w:hAnsi="仿宋_GB2312" w:eastAsia="仿宋_GB2312" w:cs="仿宋_GB2312"/>
          <w:sz w:val="32"/>
          <w:szCs w:val="32"/>
          <w:lang w:val="en-US" w:eastAsia="zh-CN"/>
        </w:rPr>
        <w:t>历次</w:t>
      </w:r>
      <w:r>
        <w:rPr>
          <w:rFonts w:hint="default" w:ascii="仿宋_GB2312" w:hAnsi="仿宋_GB2312" w:eastAsia="仿宋_GB2312" w:cs="仿宋_GB2312"/>
          <w:sz w:val="32"/>
          <w:szCs w:val="32"/>
          <w:lang w:val="en-US" w:eastAsia="zh-CN"/>
        </w:rPr>
        <w:t>全会</w:t>
      </w:r>
      <w:r>
        <w:rPr>
          <w:rFonts w:hint="eastAsia" w:ascii="仿宋_GB2312" w:hAnsi="仿宋_GB2312" w:eastAsia="仿宋_GB2312" w:cs="仿宋_GB2312"/>
          <w:sz w:val="32"/>
          <w:szCs w:val="32"/>
          <w:lang w:val="en-US" w:eastAsia="zh-CN"/>
        </w:rPr>
        <w:t>精神和</w:t>
      </w:r>
      <w:r>
        <w:rPr>
          <w:rFonts w:hint="eastAsia" w:ascii="仿宋_GB2312" w:hAnsi="仿宋_GB2312" w:eastAsia="仿宋_GB2312" w:cs="仿宋_GB2312"/>
          <w:sz w:val="32"/>
          <w:szCs w:val="32"/>
        </w:rPr>
        <w:t>习近平总书记</w:t>
      </w:r>
      <w:r>
        <w:rPr>
          <w:rFonts w:hint="eastAsia" w:ascii="仿宋_GB2312" w:hAnsi="仿宋_GB2312" w:eastAsia="仿宋_GB2312" w:cs="仿宋_GB2312"/>
          <w:sz w:val="32"/>
          <w:szCs w:val="32"/>
          <w:lang w:val="en-US" w:eastAsia="zh-CN"/>
        </w:rPr>
        <w:t>视察广东</w:t>
      </w:r>
      <w:r>
        <w:rPr>
          <w:rFonts w:hint="eastAsia" w:ascii="仿宋_GB2312" w:hAnsi="仿宋_GB2312" w:eastAsia="仿宋_GB2312" w:cs="仿宋_GB2312"/>
          <w:sz w:val="32"/>
          <w:szCs w:val="32"/>
        </w:rPr>
        <w:t>重要</w:t>
      </w:r>
      <w:r>
        <w:rPr>
          <w:rFonts w:hint="eastAsia" w:ascii="仿宋_GB2312" w:hAnsi="仿宋_GB2312" w:eastAsia="仿宋_GB2312" w:cs="仿宋_GB2312"/>
          <w:sz w:val="32"/>
          <w:szCs w:val="32"/>
          <w:lang w:val="en-US" w:eastAsia="zh-CN"/>
        </w:rPr>
        <w:t>讲话、重要</w:t>
      </w:r>
      <w:r>
        <w:rPr>
          <w:rFonts w:hint="eastAsia" w:ascii="仿宋_GB2312" w:hAnsi="仿宋_GB2312" w:eastAsia="仿宋_GB2312" w:cs="仿宋_GB2312"/>
          <w:sz w:val="32"/>
          <w:szCs w:val="32"/>
        </w:rPr>
        <w:t>指示精神，</w:t>
      </w:r>
      <w:r>
        <w:rPr>
          <w:rFonts w:hint="eastAsia" w:ascii="仿宋_GB2312" w:hAnsi="仿宋_GB2312" w:eastAsia="仿宋_GB2312" w:cs="仿宋_GB2312"/>
          <w:sz w:val="32"/>
          <w:szCs w:val="32"/>
          <w:lang w:val="en-US" w:eastAsia="zh-CN"/>
        </w:rPr>
        <w:t>学习运用“千万工程”经验，以“百县千镇万村高质量发展工程”为统领，锚定农业强省目标，</w:t>
      </w:r>
      <w:r>
        <w:rPr>
          <w:rFonts w:hint="eastAsia" w:ascii="仿宋_GB2312" w:hAnsi="仿宋_GB2312" w:eastAsia="仿宋_GB2312" w:cs="仿宋_GB2312"/>
          <w:sz w:val="32"/>
          <w:szCs w:val="32"/>
        </w:rPr>
        <w:t>推进乡村全面振兴，</w:t>
      </w:r>
      <w:r>
        <w:rPr>
          <w:rFonts w:hint="eastAsia" w:ascii="仿宋_GB2312" w:hAnsi="仿宋_GB2312" w:eastAsia="仿宋_GB2312" w:cs="仿宋_GB2312"/>
          <w:sz w:val="32"/>
          <w:szCs w:val="32"/>
          <w:lang w:eastAsia="zh-CN"/>
        </w:rPr>
        <w:t>引导“三农”领域专家学者推动乡村振兴实践创新和制度创新，增强乡村振兴工作谋划的前瞻性、科学性和系统性，为</w:t>
      </w:r>
      <w:r>
        <w:rPr>
          <w:rFonts w:hint="eastAsia" w:ascii="仿宋_GB2312" w:hAnsi="仿宋_GB2312" w:eastAsia="仿宋_GB2312" w:cs="仿宋_GB2312"/>
          <w:sz w:val="32"/>
          <w:szCs w:val="32"/>
        </w:rPr>
        <w:t>省委、省政府科学决策</w:t>
      </w:r>
      <w:r>
        <w:rPr>
          <w:rFonts w:hint="eastAsia" w:ascii="仿宋_GB2312" w:hAnsi="仿宋_GB2312" w:eastAsia="仿宋_GB2312" w:cs="仿宋_GB2312"/>
          <w:sz w:val="32"/>
          <w:szCs w:val="32"/>
          <w:lang w:eastAsia="zh-CN"/>
        </w:rPr>
        <w:t>提供重要支撑</w:t>
      </w:r>
      <w:r>
        <w:rPr>
          <w:rFonts w:hint="eastAsia" w:ascii="仿宋_GB2312" w:hAnsi="仿宋_GB2312" w:eastAsia="仿宋_GB2312" w:cs="仿宋_GB2312"/>
          <w:sz w:val="32"/>
          <w:szCs w:val="32"/>
        </w:rPr>
        <w:t>，为中国式现代化</w:t>
      </w:r>
      <w:r>
        <w:rPr>
          <w:rFonts w:hint="eastAsia" w:ascii="仿宋_GB2312" w:hAnsi="仿宋_GB2312" w:eastAsia="仿宋_GB2312" w:cs="仿宋_GB2312"/>
          <w:sz w:val="32"/>
          <w:szCs w:val="32"/>
          <w:lang w:val="en-US" w:eastAsia="zh-CN"/>
        </w:rPr>
        <w:t>广东</w:t>
      </w:r>
      <w:r>
        <w:rPr>
          <w:rFonts w:hint="default"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lang w:val="en-US" w:eastAsia="zh-CN"/>
        </w:rPr>
        <w:t>提供智力支持</w:t>
      </w:r>
      <w:r>
        <w:rPr>
          <w:rFonts w:hint="eastAsia" w:ascii="仿宋_GB2312" w:hAnsi="仿宋_GB2312" w:eastAsia="仿宋_GB2312" w:cs="仿宋_GB2312"/>
          <w:sz w:val="32"/>
          <w:szCs w:val="32"/>
        </w:rPr>
        <w:t>。</w:t>
      </w:r>
    </w:p>
    <w:p w14:paraId="550F7A54">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二、立项数量与资助经费</w:t>
      </w:r>
    </w:p>
    <w:p w14:paraId="4367C904">
      <w:pPr>
        <w:rPr>
          <w:rFonts w:hint="eastAsia"/>
          <w:lang w:eastAsia="zh-CN"/>
        </w:rPr>
      </w:pPr>
      <w:r>
        <w:rPr>
          <w:rFonts w:hint="eastAsia"/>
          <w:lang w:eastAsia="zh-CN"/>
        </w:rPr>
        <w:t>拟立项</w:t>
      </w:r>
      <w:r>
        <w:rPr>
          <w:rFonts w:hint="eastAsia"/>
          <w:lang w:val="en-US" w:eastAsia="zh-CN"/>
        </w:rPr>
        <w:t>23</w:t>
      </w:r>
      <w:r>
        <w:rPr>
          <w:rFonts w:hint="eastAsia"/>
          <w:lang w:eastAsia="zh-CN"/>
        </w:rPr>
        <w:t>项。其中，一般项目</w:t>
      </w:r>
      <w:r>
        <w:rPr>
          <w:rFonts w:hint="eastAsia"/>
          <w:lang w:val="en-US" w:eastAsia="zh-CN"/>
        </w:rPr>
        <w:t>18</w:t>
      </w:r>
      <w:r>
        <w:rPr>
          <w:rFonts w:hint="eastAsia"/>
          <w:lang w:eastAsia="zh-CN"/>
        </w:rPr>
        <w:t>项，每项资助3万元；青年项目</w:t>
      </w:r>
      <w:r>
        <w:rPr>
          <w:rFonts w:hint="eastAsia"/>
          <w:lang w:val="en-US" w:eastAsia="zh-CN"/>
        </w:rPr>
        <w:t>5</w:t>
      </w:r>
      <w:r>
        <w:rPr>
          <w:rFonts w:hint="eastAsia"/>
          <w:lang w:eastAsia="zh-CN"/>
        </w:rPr>
        <w:t>项，每项资助2万元。具体立项数量和资助额度视</w:t>
      </w:r>
      <w:r>
        <w:rPr>
          <w:rFonts w:hint="eastAsia"/>
          <w:lang w:val="en-US" w:eastAsia="zh-CN"/>
        </w:rPr>
        <w:t>实际</w:t>
      </w:r>
      <w:r>
        <w:rPr>
          <w:rFonts w:hint="eastAsia"/>
          <w:lang w:eastAsia="zh-CN"/>
        </w:rPr>
        <w:t>申报情况而定。项目资助经费由省委农办直接拨付到项目负责人所在单位。</w:t>
      </w:r>
    </w:p>
    <w:p w14:paraId="0369FD49">
      <w:pPr>
        <w:pStyle w:val="7"/>
        <w:numPr>
          <w:ilvl w:val="0"/>
          <w:numId w:val="0"/>
        </w:numPr>
        <w:bidi w:val="0"/>
        <w:ind w:firstLine="640" w:firstLineChars="200"/>
        <w:rPr>
          <w:rFonts w:hint="eastAsia"/>
          <w:lang w:eastAsia="zh-CN"/>
        </w:rPr>
      </w:pPr>
      <w:r>
        <w:rPr>
          <w:rFonts w:hint="eastAsia"/>
          <w:lang w:val="en-US" w:eastAsia="zh-CN"/>
        </w:rPr>
        <w:t>三、</w:t>
      </w:r>
      <w:r>
        <w:rPr>
          <w:rFonts w:hint="eastAsia"/>
          <w:lang w:eastAsia="zh-CN"/>
        </w:rPr>
        <w:t>参考选题</w:t>
      </w:r>
    </w:p>
    <w:p w14:paraId="660DD9BD">
      <w:pPr>
        <w:rPr>
          <w:rFonts w:hint="default"/>
          <w:lang w:val="en-US" w:eastAsia="zh-CN"/>
        </w:rPr>
      </w:pPr>
      <w:r>
        <w:rPr>
          <w:rFonts w:hint="eastAsia"/>
          <w:lang w:eastAsia="zh-CN"/>
        </w:rPr>
        <w:t>申请人须根据参考选题，结合自己的研究专长和研究基础，细化研究角度、方法和侧重点，设计题目进行申报。</w:t>
      </w:r>
      <w:r>
        <w:rPr>
          <w:rFonts w:hint="eastAsia"/>
          <w:lang w:val="en-US" w:eastAsia="zh-CN"/>
        </w:rPr>
        <w:t>选题如下：</w:t>
      </w:r>
    </w:p>
    <w:p w14:paraId="275F1EDA">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0" w:firstLineChars="200"/>
        <w:jc w:val="left"/>
        <w:textAlignment w:val="auto"/>
        <w:outlineLvl w:val="0"/>
        <w:rPr>
          <w:rFonts w:hint="default" w:ascii="楷体_GB2312" w:hAnsi="楷体_GB2312" w:eastAsia="楷体_GB2312" w:cs="楷体_GB2312"/>
          <w:snapToGrid w:val="0"/>
          <w:kern w:val="0"/>
          <w:sz w:val="32"/>
          <w:szCs w:val="32"/>
          <w:lang w:val="en-US" w:eastAsia="zh-CN"/>
        </w:rPr>
      </w:pPr>
      <w:r>
        <w:rPr>
          <w:rFonts w:hint="eastAsia" w:ascii="楷体_GB2312" w:hAnsi="楷体_GB2312" w:eastAsia="楷体_GB2312" w:cs="楷体_GB2312"/>
          <w:snapToGrid w:val="0"/>
          <w:kern w:val="0"/>
          <w:sz w:val="32"/>
          <w:szCs w:val="32"/>
          <w:lang w:val="en-US" w:eastAsia="zh-CN"/>
        </w:rPr>
        <w:t>（一）一般项目选题</w:t>
      </w:r>
    </w:p>
    <w:p w14:paraId="730DA7D8">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1.广东完善农业经营体系推动产业高质量发展路径研究。</w:t>
      </w:r>
      <w:r>
        <w:rPr>
          <w:rFonts w:hint="eastAsia" w:ascii="仿宋_GB2312" w:hAnsi="仿宋_GB2312" w:eastAsia="仿宋_GB2312" w:cs="仿宋_GB2312"/>
          <w:snapToGrid w:val="0"/>
          <w:kern w:val="0"/>
          <w:sz w:val="32"/>
          <w:szCs w:val="32"/>
          <w:lang w:val="en-US" w:eastAsia="zh-CN"/>
        </w:rPr>
        <w:t>聚集广东省省粮食和特色优势主导产业，研究农户、家庭农场、农民合作社、农业社会化服务主体等不同主体在产业链上的分工和比较优势，掌握不同主体分工合作和利益联结机制，发现制约产业发展存在的问题，提出完善农业经营体系的意见建议。</w:t>
      </w:r>
    </w:p>
    <w:p w14:paraId="1CFEF89D">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仿宋_GB2312" w:hAnsi="仿宋_GB2312" w:eastAsia="仿宋_GB2312" w:cs="仿宋_GB2312"/>
          <w:b w:val="0"/>
          <w:bCs w:val="0"/>
          <w:snapToGrid w:val="0"/>
          <w:kern w:val="2"/>
          <w:sz w:val="32"/>
          <w:szCs w:val="32"/>
          <w:highlight w:val="none"/>
          <w:lang w:val="en-US" w:eastAsia="zh-CN" w:bidi="ar-SA"/>
        </w:rPr>
      </w:pPr>
      <w:r>
        <w:rPr>
          <w:rFonts w:hint="eastAsia" w:ascii="仿宋_GB2312" w:hAnsi="仿宋_GB2312" w:eastAsia="仿宋_GB2312" w:cs="仿宋_GB2312"/>
          <w:b/>
          <w:bCs/>
          <w:snapToGrid w:val="0"/>
          <w:kern w:val="0"/>
          <w:sz w:val="32"/>
          <w:szCs w:val="32"/>
          <w:lang w:val="en-US" w:eastAsia="zh-CN"/>
        </w:rPr>
        <w:t>2.广东农事综合服务中心建设和运营机制研究</w:t>
      </w:r>
      <w:r>
        <w:rPr>
          <w:rFonts w:hint="eastAsia" w:ascii="仿宋_GB2312" w:hAnsi="仿宋_GB2312" w:eastAsia="仿宋_GB2312" w:cs="仿宋_GB2312"/>
          <w:b/>
          <w:bCs/>
          <w:snapToGrid w:val="0"/>
          <w:kern w:val="2"/>
          <w:sz w:val="32"/>
          <w:szCs w:val="32"/>
          <w:highlight w:val="none"/>
          <w:lang w:val="en-US" w:eastAsia="zh-CN" w:bidi="ar-SA"/>
        </w:rPr>
        <w:t>。</w:t>
      </w:r>
      <w:r>
        <w:rPr>
          <w:rFonts w:hint="eastAsia" w:ascii="仿宋_GB2312" w:hAnsi="仿宋_GB2312" w:eastAsia="仿宋_GB2312" w:cs="仿宋_GB2312"/>
          <w:b w:val="0"/>
          <w:bCs w:val="0"/>
          <w:snapToGrid w:val="0"/>
          <w:kern w:val="2"/>
          <w:sz w:val="32"/>
          <w:szCs w:val="32"/>
          <w:highlight w:val="none"/>
          <w:lang w:val="en-US" w:eastAsia="zh-CN" w:bidi="ar-SA"/>
        </w:rPr>
        <w:t>通过调研省内外农事综合服务中心建设运营情况，梳理各类建设模式和运营机制，按照优化服务资源配置、服务带动小户口、促进产业发展的定位，提出适合广东综合农事服务中心建设方法路径和运营机制。</w:t>
      </w:r>
    </w:p>
    <w:p w14:paraId="26D301C2">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3.“十五五”时期广东农业社会化服务发展趋势和体系建设研究。梳理</w:t>
      </w:r>
      <w:r>
        <w:rPr>
          <w:rFonts w:hint="eastAsia" w:ascii="仿宋_GB2312" w:hAnsi="仿宋_GB2312" w:eastAsia="仿宋_GB2312" w:cs="仿宋_GB2312"/>
          <w:snapToGrid w:val="0"/>
          <w:kern w:val="0"/>
          <w:sz w:val="32"/>
          <w:szCs w:val="32"/>
          <w:lang w:val="en-US" w:eastAsia="zh-CN"/>
        </w:rPr>
        <w:t>我省农业社会化服务发展情况，重点梳理公益性、公共性和经营性服务在不同作物的服务领域、范围以及专业化程度情况，对比兄弟省份的发展情况，指出当前我省农业社会化服务体系建设的短板和问题，从服务主体培育、服务信息平台搭建、服务中心建设、服务标准建立、服务行业规范等方面提出“十五五”时期我省农业社会化服务发展趋势和体系建设的方法路径。</w:t>
      </w:r>
    </w:p>
    <w:p w14:paraId="39255AF8">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4.广东省推进农业绿色发展的有效路径和省际横向比较研究。</w:t>
      </w:r>
      <w:r>
        <w:rPr>
          <w:rFonts w:hint="eastAsia" w:ascii="仿宋_GB2312" w:hAnsi="仿宋_GB2312" w:eastAsia="仿宋_GB2312" w:cs="仿宋_GB2312"/>
          <w:snapToGrid w:val="0"/>
          <w:kern w:val="0"/>
          <w:sz w:val="32"/>
          <w:szCs w:val="32"/>
          <w:lang w:val="en-US" w:eastAsia="zh-CN"/>
        </w:rPr>
        <w:t>梳理近年来广东农业绿色发展典型案例、存在的困难问题，“十五五”期间加快农业发展全面绿色转型面临的形势和机遇挑战等；横向比较农业绿色发展先进省份的成效、做法等，提出“十五五”期间广东农业绿色发展的有效路径。</w:t>
      </w:r>
    </w:p>
    <w:p w14:paraId="0D7BBB65">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仿宋_GB2312" w:hAnsi="仿宋_GB2312" w:eastAsia="仿宋_GB2312" w:cs="仿宋_GB2312"/>
          <w:b w:val="0"/>
          <w:bCs w:val="0"/>
          <w:snapToGrid w:val="0"/>
          <w:color w:val="FF000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5.补充耕地质量验收技术要点和实操规范研究。</w:t>
      </w:r>
      <w:r>
        <w:rPr>
          <w:rFonts w:hint="eastAsia" w:ascii="仿宋_GB2312" w:hAnsi="仿宋_GB2312" w:eastAsia="仿宋_GB2312" w:cs="仿宋_GB2312"/>
          <w:b w:val="0"/>
          <w:bCs w:val="0"/>
          <w:snapToGrid w:val="0"/>
          <w:kern w:val="0"/>
          <w:sz w:val="32"/>
          <w:szCs w:val="32"/>
          <w:lang w:val="en-US" w:eastAsia="zh-CN"/>
        </w:rPr>
        <w:t>研究补充耕地质量验收存在的风险点、技术规范与实际不匹配的点，不断完善技术规则和技术指标，推动提高补充耕地质量验收工作质量。</w:t>
      </w:r>
    </w:p>
    <w:p w14:paraId="0BCBC67A">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6.健全保障耕地用于种植基本农作物管理体系研究。</w:t>
      </w:r>
      <w:r>
        <w:rPr>
          <w:rFonts w:hint="eastAsia" w:ascii="仿宋_GB2312" w:hAnsi="仿宋_GB2312" w:eastAsia="仿宋_GB2312" w:cs="仿宋_GB2312"/>
          <w:b w:val="0"/>
          <w:bCs w:val="0"/>
          <w:snapToGrid w:val="0"/>
          <w:kern w:val="0"/>
          <w:sz w:val="32"/>
          <w:szCs w:val="32"/>
          <w:lang w:val="en-US" w:eastAsia="zh-CN"/>
        </w:rPr>
        <w:t>围绕保障粮食安全的核心目标，系统研究我省耕地种植基本农作物类别、种植用途管控规则、部门协同机制、监测评价方法等，提出健全耕地种植基本农作物管理体系的对策建议。</w:t>
      </w:r>
    </w:p>
    <w:p w14:paraId="23492D97">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eastAsia" w:ascii="仿宋_GB2312" w:hAnsi="仿宋_GB2312" w:eastAsia="仿宋_GB2312" w:cs="仿宋_GB2312"/>
          <w:b w:val="0"/>
          <w:bCs w:val="0"/>
          <w:snapToGrid w:val="0"/>
          <w:kern w:val="2"/>
          <w:sz w:val="32"/>
          <w:szCs w:val="32"/>
          <w:highlight w:val="none"/>
          <w:lang w:val="en-US" w:eastAsia="zh-CN" w:bidi="ar-SA"/>
        </w:rPr>
      </w:pPr>
      <w:r>
        <w:rPr>
          <w:rFonts w:hint="eastAsia" w:ascii="仿宋_GB2312" w:hAnsi="仿宋_GB2312" w:eastAsia="仿宋_GB2312" w:cs="仿宋_GB2312"/>
          <w:b/>
          <w:bCs/>
          <w:snapToGrid w:val="0"/>
          <w:kern w:val="0"/>
          <w:sz w:val="32"/>
          <w:szCs w:val="32"/>
          <w:lang w:val="en-US" w:eastAsia="zh-CN"/>
        </w:rPr>
        <w:t>7.涉农企业、科研机构和“三农”工作的便捷对接机制研究。</w:t>
      </w:r>
      <w:r>
        <w:rPr>
          <w:rFonts w:hint="eastAsia" w:ascii="仿宋_GB2312" w:hAnsi="仿宋_GB2312" w:eastAsia="仿宋_GB2312" w:cs="仿宋_GB2312"/>
          <w:b w:val="0"/>
          <w:bCs w:val="0"/>
          <w:snapToGrid w:val="0"/>
          <w:kern w:val="2"/>
          <w:sz w:val="32"/>
          <w:szCs w:val="32"/>
          <w:highlight w:val="none"/>
          <w:lang w:val="en-US" w:eastAsia="zh-CN" w:bidi="ar-SA"/>
        </w:rPr>
        <w:t>研究涉农企业、科研机构和“三农”工作的便捷对接机制，形成科创联合体牵引、产业孵化器加速、金融和数据服务赋能、应用场景支撑的现代农业科创体系，一体化推动科技研发、成果转化和应用推广。</w:t>
      </w:r>
    </w:p>
    <w:p w14:paraId="79AAD1E4">
      <w:pPr>
        <w:keepNext w:val="0"/>
        <w:keepLines w:val="0"/>
        <w:pageBreakBefore w:val="0"/>
        <w:kinsoku/>
        <w:wordWrap/>
        <w:overflowPunct/>
        <w:topLinePunct w:val="0"/>
        <w:autoSpaceDE/>
        <w:autoSpaceDN/>
        <w:bidi w:val="0"/>
        <w:adjustRightInd w:val="0"/>
        <w:snapToGrid w:val="0"/>
        <w:spacing w:line="594" w:lineRule="exact"/>
        <w:ind w:left="0" w:leftChars="0" w:firstLine="643" w:firstLineChars="200"/>
        <w:textAlignment w:val="auto"/>
        <w:outlineLvl w:val="1"/>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8.激励高校科研机构参与农业科技创新的政策机制与实践路径研究。</w:t>
      </w:r>
      <w:r>
        <w:rPr>
          <w:rFonts w:hint="eastAsia" w:ascii="仿宋_GB2312" w:hAnsi="仿宋_GB2312" w:eastAsia="仿宋_GB2312" w:cs="仿宋_GB2312"/>
          <w:b w:val="0"/>
          <w:bCs w:val="0"/>
          <w:snapToGrid w:val="0"/>
          <w:kern w:val="0"/>
          <w:sz w:val="32"/>
          <w:szCs w:val="32"/>
          <w:lang w:val="en-US" w:eastAsia="zh-CN"/>
        </w:rPr>
        <w:t>分析现有政策对高校科研机构参与农业科技创新的激励效果，探讨如何优化政策设计以提升参与度。探索高校与农业企业、科研机构之间的合作机制，研究如何通过产学研结合促进技术创新和成果转化，形成互利共赢的合作模式。分析高校科研人员参与农业科技创新的动力因素，研究如何激励科研人员积极参与农业科研。评估现有农业科技创新平台的运行效果，研究如何吸引高校科研机构深度参与农业科技创新。分析农业科技成果从实验室到田间转化的瓶颈，研究如何建立有效的成果转化机制，提升科技成果在农业生产中的实际应用效果。比较分析先进省份、国际上激励高校参与农业科技创新的成功经验，提炼适合我省省情的政策建议和实践路径</w:t>
      </w:r>
      <w:r>
        <w:rPr>
          <w:rFonts w:hint="eastAsia" w:ascii="仿宋_GB2312" w:hAnsi="仿宋_GB2312" w:eastAsia="仿宋_GB2312" w:cs="仿宋_GB2312"/>
          <w:snapToGrid w:val="0"/>
          <w:kern w:val="0"/>
          <w:sz w:val="32"/>
          <w:szCs w:val="32"/>
          <w:lang w:val="en-US" w:eastAsia="zh-CN"/>
        </w:rPr>
        <w:t>。</w:t>
      </w:r>
    </w:p>
    <w:p w14:paraId="7A9C0131">
      <w:pPr>
        <w:keepNext w:val="0"/>
        <w:keepLines w:val="0"/>
        <w:pageBreakBefore w:val="0"/>
        <w:kinsoku/>
        <w:wordWrap/>
        <w:overflowPunct/>
        <w:topLinePunct w:val="0"/>
        <w:autoSpaceDE/>
        <w:autoSpaceDN/>
        <w:bidi w:val="0"/>
        <w:adjustRightInd w:val="0"/>
        <w:snapToGrid w:val="0"/>
        <w:spacing w:line="594" w:lineRule="exact"/>
        <w:ind w:left="0" w:leftChars="0" w:firstLine="643" w:firstLineChars="200"/>
        <w:textAlignment w:val="auto"/>
        <w:outlineLvl w:val="1"/>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9.广东农业科技创新与产业深度融合的机制创新、路径选择与政策保障研究。</w:t>
      </w:r>
      <w:r>
        <w:rPr>
          <w:rFonts w:hint="eastAsia" w:ascii="仿宋_GB2312" w:hAnsi="仿宋_GB2312" w:eastAsia="仿宋_GB2312" w:cs="仿宋_GB2312"/>
          <w:b w:val="0"/>
          <w:bCs w:val="0"/>
          <w:snapToGrid w:val="0"/>
          <w:kern w:val="0"/>
          <w:sz w:val="32"/>
          <w:szCs w:val="32"/>
          <w:lang w:val="en-US" w:eastAsia="zh-CN"/>
        </w:rPr>
        <w:t>立足于广东构建现代化农业产业体系推动农业高质量发展与“百县千镇万村高质量发展工程”的战略需求，聚焦于破解农业科技创新与产业发展“两张皮”的核心问题。系统诊断广东农业科技产业融合的现状、瓶颈与深层机制障碍。在此基础上，重点研究三大核心问题：一是构建以市场为导向、企业为主体、“政产学研金介用”多方协同的融合新机制；二是针对大湾区都市农业、粤东西北特色农业等不同区域模式，设计差异化的融合路径；三是研究如何优化资源配置、创新金融支持与完善制度供给，形成有效的政策保障体系</w:t>
      </w:r>
      <w:r>
        <w:rPr>
          <w:rFonts w:hint="eastAsia" w:ascii="仿宋_GB2312" w:hAnsi="仿宋_GB2312" w:eastAsia="仿宋_GB2312" w:cs="仿宋_GB2312"/>
          <w:b/>
          <w:bCs/>
          <w:snapToGrid w:val="0"/>
          <w:kern w:val="0"/>
          <w:sz w:val="32"/>
          <w:szCs w:val="32"/>
          <w:lang w:val="en-US" w:eastAsia="zh-CN"/>
        </w:rPr>
        <w:t>。</w:t>
      </w:r>
    </w:p>
    <w:p w14:paraId="36DD21EF">
      <w:pPr>
        <w:keepNext w:val="0"/>
        <w:keepLines w:val="0"/>
        <w:pageBreakBefore w:val="0"/>
        <w:kinsoku/>
        <w:wordWrap/>
        <w:overflowPunct/>
        <w:topLinePunct w:val="0"/>
        <w:autoSpaceDE/>
        <w:autoSpaceDN/>
        <w:bidi w:val="0"/>
        <w:adjustRightInd w:val="0"/>
        <w:snapToGrid w:val="0"/>
        <w:spacing w:line="594" w:lineRule="exact"/>
        <w:ind w:left="0" w:leftChars="0" w:firstLine="643" w:firstLineChars="200"/>
        <w:textAlignment w:val="auto"/>
        <w:outlineLvl w:val="1"/>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10.基于遥感的广东省耕地质量变化监测与非粮化治理路径研究。</w:t>
      </w:r>
      <w:r>
        <w:rPr>
          <w:rFonts w:hint="eastAsia" w:ascii="仿宋_GB2312" w:hAnsi="仿宋_GB2312" w:eastAsia="仿宋_GB2312" w:cs="仿宋_GB2312"/>
          <w:b w:val="0"/>
          <w:bCs w:val="0"/>
          <w:snapToGrid w:val="0"/>
          <w:kern w:val="0"/>
          <w:sz w:val="32"/>
          <w:szCs w:val="32"/>
          <w:lang w:val="en-US" w:eastAsia="zh-CN"/>
        </w:rPr>
        <w:t>立足广东粮食生产基础薄弱、耕地资源紧张和产能提升迫切性等现实需求，面向全省构建高精度、可持续的粮食生产耕地质量与非粮化遥感监测体系，重点刻画果园化、鱼塘化、撂荒及设施占地等非粮化类型对粮食种植空间的挤压效应及其演变规律，构建粮食生产耕地质量评价模型，揭示耕地退化对粮食稳产增产能力的影响，提炼广东非粮化的主要驱动机制，形成强化粮食用途管控、优化耕地布局与提升粮食产能的治理路径。</w:t>
      </w:r>
    </w:p>
    <w:p w14:paraId="546B8FA8">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11.农村生活污水治理长效管护机制研究。</w:t>
      </w:r>
      <w:r>
        <w:rPr>
          <w:rFonts w:hint="eastAsia" w:ascii="仿宋_GB2312" w:hAnsi="仿宋_GB2312" w:eastAsia="仿宋_GB2312" w:cs="仿宋_GB2312"/>
          <w:b w:val="0"/>
          <w:bCs w:val="0"/>
          <w:snapToGrid w:val="0"/>
          <w:kern w:val="0"/>
          <w:sz w:val="32"/>
          <w:szCs w:val="32"/>
          <w:lang w:val="en-US" w:eastAsia="zh-CN"/>
        </w:rPr>
        <w:t>主要以农村生活污水治理为抓手开展乡村治理效能提升与长效管护机制创新研究，剖析当前管护中“政府干、村民看”困境的根源，构建“政府主导、村集体主体、村民参与、市场运作”的多元共治模型，研究如何激发村民参与管护的内生动力，设计清晰的县、镇、村、户四级权责清单和协同流程。</w:t>
      </w:r>
    </w:p>
    <w:p w14:paraId="5A4E9F67">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12.广东省持续推进农村人居环境整治提升的现状、问题与对策研究。</w:t>
      </w:r>
      <w:r>
        <w:rPr>
          <w:rFonts w:hint="eastAsia" w:ascii="仿宋_GB2312" w:hAnsi="仿宋_GB2312" w:eastAsia="仿宋_GB2312" w:cs="仿宋_GB2312"/>
          <w:b w:val="0"/>
          <w:bCs w:val="0"/>
          <w:snapToGrid w:val="0"/>
          <w:kern w:val="0"/>
          <w:sz w:val="32"/>
          <w:szCs w:val="32"/>
          <w:lang w:val="en-US" w:eastAsia="zh-CN"/>
        </w:rPr>
        <w:t>梳理广东省农村厕所革命、生活污水处理和清洁村庄行动等整治现状，总结“十四五”期间广东省在农村人居环境整治提升工作的成功经验与做法，深入分析存在的问题与不足，重点从建设模式、处理工艺、治理效果、运维管理等方面探讨存在的问题与不足。基于广东省“十四五”期间农村人居环境整治提升取得的显著成效与部分地区成功经验，同时借鉴浙江等地的先进经验和模式，探索研究并提出“十五五”期间持续推进农村人居环境整治提升的优化建议。</w:t>
      </w:r>
    </w:p>
    <w:p w14:paraId="6023B006">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13.推进强农惠农富农支持制度完善的多元路径研究。</w:t>
      </w:r>
      <w:r>
        <w:rPr>
          <w:rFonts w:hint="eastAsia" w:ascii="仿宋_GB2312" w:hAnsi="仿宋_GB2312" w:eastAsia="仿宋_GB2312" w:cs="仿宋_GB2312"/>
          <w:snapToGrid w:val="0"/>
          <w:kern w:val="0"/>
          <w:sz w:val="32"/>
          <w:szCs w:val="32"/>
          <w:vertAlign w:val="baseline"/>
          <w:lang w:val="en-US" w:eastAsia="zh-CN"/>
        </w:rPr>
        <w:t>围绕农业补贴、种粮农民收益保障、多层次农业保险和联农带农等政策的落实情况进行深入调研、对比分析，探索支持强农惠农富农政策落实的有效措施和意见建议，进一步健全我省增加农民收入的政策支撑体系。</w:t>
      </w:r>
    </w:p>
    <w:p w14:paraId="6364B7EA">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14.常态化帮扶机制跟踪研究和政策建议。</w:t>
      </w:r>
      <w:r>
        <w:rPr>
          <w:rFonts w:hint="eastAsia" w:ascii="仿宋_GB2312" w:hAnsi="仿宋_GB2312" w:eastAsia="仿宋_GB2312" w:cs="仿宋_GB2312"/>
          <w:snapToGrid w:val="0"/>
          <w:kern w:val="2"/>
          <w:sz w:val="32"/>
          <w:szCs w:val="32"/>
          <w:vertAlign w:val="baseline"/>
          <w:lang w:val="en-US" w:eastAsia="zh-CN" w:bidi="ar-SA"/>
        </w:rPr>
        <w:t>研究过渡期后常</w:t>
      </w:r>
      <w:r>
        <w:rPr>
          <w:rFonts w:hint="eastAsia" w:ascii="仿宋_GB2312" w:hAnsi="仿宋_GB2312" w:eastAsia="仿宋_GB2312" w:cs="仿宋_GB2312"/>
          <w:snapToGrid w:val="0"/>
          <w:spacing w:val="-6"/>
          <w:kern w:val="2"/>
          <w:sz w:val="32"/>
          <w:szCs w:val="32"/>
          <w:vertAlign w:val="baseline"/>
          <w:lang w:val="en-US" w:eastAsia="zh-CN" w:bidi="ar-SA"/>
        </w:rPr>
        <w:t>态化帮扶机制优化调整的实施情况、存在问题和改进的政策建议。</w:t>
      </w:r>
    </w:p>
    <w:p w14:paraId="316E45A3">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15.农业农村现代化框架下健全广东新型农村集体经济运行机制研究。</w:t>
      </w:r>
      <w:r>
        <w:rPr>
          <w:rFonts w:hint="eastAsia" w:ascii="仿宋_GB2312" w:hAnsi="仿宋_GB2312" w:eastAsia="仿宋_GB2312" w:cs="仿宋_GB2312"/>
          <w:snapToGrid w:val="0"/>
          <w:kern w:val="2"/>
          <w:sz w:val="32"/>
          <w:szCs w:val="32"/>
          <w:vertAlign w:val="baseline"/>
          <w:lang w:val="en-US" w:eastAsia="zh-CN" w:bidi="ar-SA"/>
        </w:rPr>
        <w:t>以农村产权改革市场驱动机制、探索利益分配机制的监督与调整机制等为“小切口”，对珠三角及粤东西北典型村居开展深度调研，实行“边调研、边总结、边转化”法，以省内外代表地区为突破点，探索在落实省委“1310”具体部署和推进中国式现代化进程中，广东在如何推进构建“产权明确晰、分配合理”的新型农村集体经济运行新机制。</w:t>
      </w:r>
    </w:p>
    <w:p w14:paraId="0628CB18">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16.AI驱动的智能育种技术体系构建与产业化路径研究。</w:t>
      </w:r>
      <w:r>
        <w:rPr>
          <w:rFonts w:hint="eastAsia" w:ascii="仿宋_GB2312" w:hAnsi="仿宋_GB2312" w:eastAsia="仿宋_GB2312" w:cs="仿宋_GB2312"/>
          <w:snapToGrid w:val="0"/>
          <w:kern w:val="2"/>
          <w:sz w:val="32"/>
          <w:szCs w:val="32"/>
          <w:vertAlign w:val="baseline"/>
          <w:lang w:val="en-US" w:eastAsia="zh-CN" w:bidi="ar-SA"/>
        </w:rPr>
        <w:t>针对推动AI技术与生物育种技术融合，将知识图谱、生成式AI与合成生物学等结合，突破传统育种经验依赖，推动人工智能企业介入生物育种领域等提出实践借鉴经验和在广东省的可行路径，研究构建从基因设计到产业化落地，形成闭环研究体系。为农业生物科技企业、科研机构及政策制定者提供技术路线与决策支持，助力种业“卡脖子”技术突破。</w:t>
      </w:r>
    </w:p>
    <w:p w14:paraId="2D83F649">
      <w:pPr>
        <w:keepNext w:val="0"/>
        <w:keepLines w:val="0"/>
        <w:pageBreakBefore w:val="0"/>
        <w:kinsoku/>
        <w:wordWrap/>
        <w:overflowPunct/>
        <w:topLinePunct w:val="0"/>
        <w:autoSpaceDE/>
        <w:autoSpaceDN/>
        <w:bidi w:val="0"/>
        <w:adjustRightInd w:val="0"/>
        <w:snapToGrid w:val="0"/>
        <w:spacing w:line="570" w:lineRule="exact"/>
        <w:ind w:left="0" w:leftChars="0" w:firstLine="643" w:firstLineChars="200"/>
        <w:textAlignment w:val="auto"/>
        <w:outlineLvl w:val="1"/>
        <w:rPr>
          <w:rFonts w:hint="eastAsia" w:ascii="仿宋_GB2312" w:hAnsi="仿宋_GB2312" w:eastAsia="仿宋_GB2312" w:cs="仿宋_GB2312"/>
          <w:snapToGrid w:val="0"/>
          <w:kern w:val="2"/>
          <w:sz w:val="32"/>
          <w:szCs w:val="32"/>
          <w:vertAlign w:val="baseline"/>
          <w:lang w:val="en-US" w:eastAsia="zh-CN" w:bidi="ar-SA"/>
        </w:rPr>
      </w:pPr>
      <w:r>
        <w:rPr>
          <w:rFonts w:hint="eastAsia" w:ascii="仿宋_GB2312" w:hAnsi="仿宋_GB2312" w:eastAsia="仿宋_GB2312" w:cs="仿宋_GB2312"/>
          <w:b/>
          <w:bCs/>
          <w:snapToGrid w:val="0"/>
          <w:kern w:val="0"/>
          <w:sz w:val="32"/>
          <w:szCs w:val="32"/>
          <w:lang w:val="en-US" w:eastAsia="zh-CN"/>
        </w:rPr>
        <w:t>17.乡村振兴背景下涉农投融资类国企培育与平台化运作研究。</w:t>
      </w:r>
      <w:r>
        <w:rPr>
          <w:rFonts w:hint="eastAsia" w:ascii="仿宋_GB2312" w:hAnsi="仿宋_GB2312" w:eastAsia="仿宋_GB2312" w:cs="仿宋_GB2312"/>
          <w:snapToGrid w:val="0"/>
          <w:kern w:val="2"/>
          <w:sz w:val="32"/>
          <w:szCs w:val="32"/>
          <w:vertAlign w:val="baseline"/>
          <w:lang w:val="en-US" w:eastAsia="zh-CN" w:bidi="ar-SA"/>
        </w:rPr>
        <w:t>围绕全省现代农业产业体系建设需要，调研省市级涉农投融资国企在服务乡村产业、支撑农业优势产业发展中的功能作用、运营模式与关键瓶颈，总结其有效做法与典型模式，研究提出其赋能现代农业发展的实施路径，提升对全省现代农业产业集群发展的体系化支撑能力。</w:t>
      </w:r>
    </w:p>
    <w:p w14:paraId="3679A060">
      <w:pPr>
        <w:keepNext w:val="0"/>
        <w:keepLines w:val="0"/>
        <w:pageBreakBefore w:val="0"/>
        <w:kinsoku/>
        <w:wordWrap/>
        <w:overflowPunct/>
        <w:topLinePunct w:val="0"/>
        <w:autoSpaceDE/>
        <w:autoSpaceDN/>
        <w:bidi w:val="0"/>
        <w:adjustRightInd w:val="0"/>
        <w:snapToGrid w:val="0"/>
        <w:spacing w:line="590" w:lineRule="exact"/>
        <w:ind w:left="0" w:leftChars="0" w:firstLine="643" w:firstLineChars="200"/>
        <w:textAlignment w:val="auto"/>
        <w:outlineLvl w:val="1"/>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18.现代化海洋牧场建设中的金融保险支持机制研究。</w:t>
      </w:r>
      <w:r>
        <w:rPr>
          <w:rFonts w:hint="eastAsia" w:ascii="仿宋_GB2312" w:hAnsi="仿宋_GB2312" w:eastAsia="仿宋_GB2312" w:cs="仿宋_GB2312"/>
          <w:snapToGrid w:val="0"/>
          <w:kern w:val="2"/>
          <w:sz w:val="32"/>
          <w:szCs w:val="32"/>
          <w:vertAlign w:val="baseline"/>
          <w:lang w:val="en-US" w:eastAsia="zh-CN" w:bidi="ar-SA"/>
        </w:rPr>
        <w:t>聚焦现代化海洋牧场发展需求，系统研究金融保险在现代化海洋牧场建设和运营全周期中的功能定位与作用机制。重点分析信贷、保险、融资租赁、REITs等多元金融工具协同支持现代化海洋牧场基础设施建设、装备升级、养殖及产业链延伸的有效模式，研究如何搭建现代化海洋牧场全产业链数据采集体系，实现现代化海洋牧场全流程数字化智能化管理，构建供应链金融体系，提出可落地可推广的实施路径建议。研究如何利用海洋环境监测、卫星遥感和大数据技术提升现代化海洋牧场保险的风险识别、精准承保与快速理赔能力。</w:t>
      </w:r>
    </w:p>
    <w:p w14:paraId="697EA4DC">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40" w:firstLineChars="200"/>
        <w:jc w:val="both"/>
        <w:textAlignment w:val="auto"/>
        <w:outlineLvl w:val="0"/>
        <w:rPr>
          <w:rFonts w:hint="eastAsia" w:ascii="楷体_GB2312" w:hAnsi="楷体_GB2312" w:eastAsia="楷体_GB2312" w:cs="楷体_GB2312"/>
          <w:snapToGrid w:val="0"/>
          <w:kern w:val="0"/>
          <w:sz w:val="32"/>
          <w:szCs w:val="32"/>
          <w:lang w:val="en-US" w:eastAsia="zh-CN"/>
        </w:rPr>
      </w:pPr>
      <w:r>
        <w:rPr>
          <w:rFonts w:hint="eastAsia" w:ascii="楷体_GB2312" w:hAnsi="楷体_GB2312" w:eastAsia="楷体_GB2312" w:cs="楷体_GB2312"/>
          <w:snapToGrid w:val="0"/>
          <w:kern w:val="0"/>
          <w:sz w:val="32"/>
          <w:szCs w:val="32"/>
          <w:lang w:val="en-US" w:eastAsia="zh-CN"/>
        </w:rPr>
        <w:t>（二）青年项目选题</w:t>
      </w:r>
    </w:p>
    <w:p w14:paraId="58FE99DC">
      <w:pPr>
        <w:keepNext w:val="0"/>
        <w:keepLines w:val="0"/>
        <w:pageBreakBefore w:val="0"/>
        <w:kinsoku/>
        <w:wordWrap/>
        <w:overflowPunct/>
        <w:topLinePunct w:val="0"/>
        <w:autoSpaceDE/>
        <w:autoSpaceDN/>
        <w:bidi w:val="0"/>
        <w:adjustRightInd w:val="0"/>
        <w:snapToGrid w:val="0"/>
        <w:spacing w:line="590" w:lineRule="exact"/>
        <w:ind w:left="0" w:leftChars="0" w:firstLine="643" w:firstLineChars="200"/>
        <w:textAlignment w:val="auto"/>
        <w:outlineLvl w:val="1"/>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1.数字时代人工智能赋能农业的效率与价值重构研究。</w:t>
      </w:r>
      <w:r>
        <w:rPr>
          <w:rFonts w:hint="eastAsia" w:ascii="仿宋_GB2312" w:hAnsi="仿宋_GB2312" w:eastAsia="仿宋_GB2312" w:cs="仿宋_GB2312"/>
          <w:b w:val="0"/>
          <w:bCs w:val="0"/>
          <w:snapToGrid w:val="0"/>
          <w:kern w:val="0"/>
          <w:sz w:val="32"/>
          <w:szCs w:val="32"/>
          <w:lang w:val="en-US" w:eastAsia="zh-CN"/>
        </w:rPr>
        <w:t>聚焦数字时代AI农业发展核心议题，系统分析人工智能在农业生产、管理、流通全链条的效率提升机制，对粮食安全、生物育种、智慧农业等领域的变革改造路径，量化评估技术对农业生产效率、资源配置效率与产业运行效率的赋能效应。探究AI技术驱动下农业劳动价值、生态价值、社会价值与文化价值的解构与重塑过程，剖析技术理性与传统农耕价值的冲突与融合。提出适配我国农业发展的价值引领路径与制度保障策略，推动AI农业实现高效发展与价值回归的统一，重构智能时代农业的劳动价值、生态价值与生命价值。</w:t>
      </w:r>
    </w:p>
    <w:p w14:paraId="5AB98812">
      <w:pPr>
        <w:keepNext w:val="0"/>
        <w:keepLines w:val="0"/>
        <w:pageBreakBefore w:val="0"/>
        <w:kinsoku/>
        <w:wordWrap/>
        <w:overflowPunct/>
        <w:topLinePunct w:val="0"/>
        <w:autoSpaceDE/>
        <w:autoSpaceDN/>
        <w:bidi w:val="0"/>
        <w:adjustRightInd w:val="0"/>
        <w:snapToGrid w:val="0"/>
        <w:spacing w:line="594" w:lineRule="exact"/>
        <w:ind w:left="0" w:leftChars="0" w:firstLine="643" w:firstLineChars="200"/>
        <w:textAlignment w:val="auto"/>
        <w:outlineLvl w:val="1"/>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2.农业农村在县域经济高质量发展中的功能定位和作用机制研究。</w:t>
      </w:r>
      <w:r>
        <w:rPr>
          <w:rFonts w:hint="eastAsia" w:ascii="仿宋_GB2312" w:hAnsi="仿宋_GB2312" w:eastAsia="仿宋_GB2312" w:cs="仿宋_GB2312"/>
          <w:snapToGrid w:val="0"/>
          <w:kern w:val="0"/>
          <w:sz w:val="32"/>
          <w:szCs w:val="32"/>
        </w:rPr>
        <w:t>从产业、要素、消费等多角度分析农业农村在县域经济发展的功能定位，厘清农业农村对县域经济增长的驱动路径和作用机理，提出“十五五”时期在助力县域高质量发展中农业农村的发展方向和相关政策建议</w:t>
      </w:r>
      <w:r>
        <w:rPr>
          <w:rFonts w:hint="eastAsia" w:ascii="仿宋_GB2312" w:hAnsi="仿宋_GB2312" w:eastAsia="仿宋_GB2312" w:cs="仿宋_GB2312"/>
          <w:snapToGrid w:val="0"/>
          <w:kern w:val="0"/>
          <w:sz w:val="32"/>
          <w:szCs w:val="32"/>
          <w:lang w:val="en-US" w:eastAsia="zh-CN"/>
        </w:rPr>
        <w:t>。</w:t>
      </w:r>
    </w:p>
    <w:p w14:paraId="49968B1D">
      <w:pPr>
        <w:keepNext w:val="0"/>
        <w:keepLines w:val="0"/>
        <w:pageBreakBefore w:val="0"/>
        <w:kinsoku/>
        <w:wordWrap/>
        <w:overflowPunct/>
        <w:topLinePunct w:val="0"/>
        <w:autoSpaceDE/>
        <w:autoSpaceDN/>
        <w:bidi w:val="0"/>
        <w:adjustRightInd w:val="0"/>
        <w:snapToGrid w:val="0"/>
        <w:spacing w:line="594" w:lineRule="exact"/>
        <w:ind w:left="0" w:leftChars="0" w:firstLine="643" w:firstLineChars="200"/>
        <w:textAlignment w:val="auto"/>
        <w:outlineLvl w:val="1"/>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3.乡村闲置资产盘活与农文旅项目运营研究。</w:t>
      </w:r>
      <w:r>
        <w:rPr>
          <w:rFonts w:hint="eastAsia" w:ascii="仿宋_GB2312" w:hAnsi="仿宋_GB2312" w:eastAsia="仿宋_GB2312" w:cs="仿宋_GB2312"/>
          <w:snapToGrid w:val="0"/>
          <w:kern w:val="0"/>
          <w:sz w:val="32"/>
          <w:szCs w:val="32"/>
          <w:lang w:val="en-US" w:eastAsia="zh-CN"/>
        </w:rPr>
        <w:t>立足我省农业农村发展现状，系统研究如何有效盘活乡村闲置资产，融入农文旅融合发展大局。一是农文旅融合导向的闲置资产盘活路径创新，重点研究如何根据资源禀赋、区位特点和市场需求，将闲置资产转化为融合型业态，探索“农业景观+”多元融合模式；二是乡村新产业新业态的孵化机制研究，系统分析如何利用闲置空间培育发展新业态；三是市场化运营与精准招商策略设计，总结提炼各类市场化运营模式的适用条件与操作要点。</w:t>
      </w:r>
    </w:p>
    <w:p w14:paraId="723C63AB">
      <w:pPr>
        <w:keepNext w:val="0"/>
        <w:keepLines w:val="0"/>
        <w:pageBreakBefore w:val="0"/>
        <w:kinsoku/>
        <w:wordWrap/>
        <w:overflowPunct/>
        <w:topLinePunct w:val="0"/>
        <w:autoSpaceDE/>
        <w:autoSpaceDN/>
        <w:bidi w:val="0"/>
        <w:adjustRightInd w:val="0"/>
        <w:snapToGrid w:val="0"/>
        <w:spacing w:line="594" w:lineRule="exact"/>
        <w:ind w:left="0" w:leftChars="0" w:firstLine="643" w:firstLineChars="200"/>
        <w:textAlignment w:val="auto"/>
        <w:outlineLvl w:val="1"/>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4.低空经济在广东省农业农村领域发展应用研究。</w:t>
      </w:r>
      <w:r>
        <w:rPr>
          <w:rFonts w:hint="eastAsia" w:ascii="仿宋_GB2312" w:hAnsi="仿宋_GB2312" w:eastAsia="仿宋_GB2312" w:cs="仿宋_GB2312"/>
          <w:snapToGrid w:val="0"/>
          <w:kern w:val="2"/>
          <w:sz w:val="32"/>
          <w:szCs w:val="32"/>
          <w:vertAlign w:val="baseline"/>
          <w:lang w:val="en-US" w:eastAsia="zh-CN" w:bidi="ar-SA"/>
        </w:rPr>
        <w:t>对低空经济在我省农业农村领域发展应用情况、存在问题、面临的挑战和机遇开展研究，梳理下一步政策建议</w:t>
      </w:r>
      <w:r>
        <w:rPr>
          <w:rFonts w:hint="eastAsia" w:ascii="仿宋_GB2312" w:hAnsi="仿宋_GB2312" w:eastAsia="仿宋_GB2312" w:cs="仿宋_GB2312"/>
          <w:snapToGrid w:val="0"/>
          <w:kern w:val="0"/>
          <w:sz w:val="32"/>
          <w:szCs w:val="32"/>
          <w:lang w:val="en-US" w:eastAsia="zh-CN"/>
        </w:rPr>
        <w:t>。</w:t>
      </w:r>
    </w:p>
    <w:p w14:paraId="4CA39D13">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3" w:firstLineChars="200"/>
        <w:jc w:val="both"/>
        <w:textAlignment w:val="auto"/>
        <w:outlineLvl w:val="0"/>
        <w:rPr>
          <w:rFonts w:hint="default"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5.广东省农文旅融合的联农带农机制研究。</w:t>
      </w:r>
      <w:r>
        <w:rPr>
          <w:rFonts w:hint="eastAsia" w:ascii="仿宋_GB2312" w:hAnsi="仿宋_GB2312" w:eastAsia="仿宋_GB2312" w:cs="仿宋_GB2312"/>
          <w:b w:val="0"/>
          <w:bCs w:val="0"/>
          <w:snapToGrid w:val="0"/>
          <w:kern w:val="0"/>
          <w:sz w:val="32"/>
          <w:szCs w:val="32"/>
          <w:lang w:val="en-US" w:eastAsia="zh-CN"/>
        </w:rPr>
        <w:t>聚焦广东农文旅融合中“联农带农”核心命题，围绕实践类型、运作机制、综合成效三大问题展开研究。识别并分析以资源盘活、产业赋能、业态融合及合作经营等为代表的农文旅融合的联农带农多元实践类型及其适用条件。重点剖析利益联结机制、主体协同机制、要素保障机制等运作机制，从经济（农民增收、村集体经济壮大）、社会（人才回流、乡村治理改善）及生态文化等多维度综合评估联农带农的实效，提炼可复制经验，为广东深化农文旅融合、促进农民农村共同富裕提供政策参考。</w:t>
      </w:r>
    </w:p>
    <w:p w14:paraId="6F676EA2">
      <w:pPr>
        <w:pStyle w:val="7"/>
        <w:bidi w:val="0"/>
        <w:rPr>
          <w:rFonts w:hint="eastAsia"/>
          <w:lang w:eastAsia="zh-CN"/>
        </w:rPr>
      </w:pPr>
      <w:r>
        <w:rPr>
          <w:rFonts w:hint="eastAsia"/>
          <w:lang w:val="en-US" w:eastAsia="zh-CN"/>
        </w:rPr>
        <w:t>四、</w:t>
      </w:r>
      <w:r>
        <w:rPr>
          <w:rFonts w:hint="eastAsia"/>
          <w:lang w:eastAsia="zh-CN"/>
        </w:rPr>
        <w:t>成果要求</w:t>
      </w:r>
    </w:p>
    <w:p w14:paraId="3D638F02">
      <w:pPr>
        <w:rPr>
          <w:rFonts w:hint="eastAsia"/>
          <w:lang w:eastAsia="zh-CN"/>
        </w:rPr>
      </w:pPr>
      <w:r>
        <w:rPr>
          <w:rFonts w:hint="eastAsia"/>
          <w:lang w:val="en-US" w:eastAsia="zh-CN"/>
        </w:rPr>
        <w:t>项目成果须严格遵守学术规范，并</w:t>
      </w:r>
      <w:r>
        <w:rPr>
          <w:rFonts w:hint="eastAsia"/>
          <w:lang w:eastAsia="zh-CN"/>
        </w:rPr>
        <w:t>与课题具有相关性。</w:t>
      </w:r>
      <w:r>
        <w:rPr>
          <w:rFonts w:hint="eastAsia"/>
          <w:lang w:val="en-US" w:eastAsia="zh-CN"/>
        </w:rPr>
        <w:t>预期成果形式为1篇</w:t>
      </w:r>
      <w:r>
        <w:rPr>
          <w:rFonts w:hint="eastAsia"/>
          <w:lang w:eastAsia="zh-CN"/>
        </w:rPr>
        <w:t>研究报告（报告摘要2000-3000字，报告全文1-2万字）</w:t>
      </w:r>
      <w:r>
        <w:rPr>
          <w:rFonts w:hint="eastAsia"/>
          <w:lang w:val="en-US" w:eastAsia="zh-CN"/>
        </w:rPr>
        <w:t>+1篇</w:t>
      </w:r>
      <w:r>
        <w:rPr>
          <w:rFonts w:hint="eastAsia"/>
          <w:lang w:eastAsia="zh-CN"/>
        </w:rPr>
        <w:t>决策咨询报告。项目研究周期为1年，项目负责人须在202</w:t>
      </w:r>
      <w:r>
        <w:rPr>
          <w:rFonts w:hint="eastAsia"/>
          <w:lang w:val="en-US" w:eastAsia="zh-CN"/>
        </w:rPr>
        <w:t>7</w:t>
      </w:r>
      <w:r>
        <w:rPr>
          <w:rFonts w:hint="eastAsia"/>
          <w:lang w:eastAsia="zh-CN"/>
        </w:rPr>
        <w:t>年8月31日前提交结项材料。</w:t>
      </w:r>
    </w:p>
    <w:p w14:paraId="3434E698">
      <w:pPr>
        <w:rPr>
          <w:rFonts w:hint="eastAsia"/>
          <w:lang w:eastAsia="zh-CN"/>
        </w:rPr>
      </w:pPr>
      <w:r>
        <w:rPr>
          <w:rFonts w:hint="eastAsia"/>
          <w:lang w:eastAsia="zh-CN"/>
        </w:rPr>
        <w:t>课题组按</w:t>
      </w:r>
      <w:bookmarkStart w:id="0" w:name="_GoBack"/>
      <w:bookmarkEnd w:id="0"/>
      <w:r>
        <w:rPr>
          <w:rFonts w:hint="eastAsia"/>
          <w:lang w:eastAsia="zh-CN"/>
        </w:rPr>
        <w:t>要求完成研究后，额外达到以下条件之一的，</w:t>
      </w:r>
      <w:r>
        <w:rPr>
          <w:rFonts w:hint="eastAsia"/>
          <w:lang w:val="en-US" w:eastAsia="zh-CN"/>
        </w:rPr>
        <w:t>结项</w:t>
      </w:r>
      <w:r>
        <w:rPr>
          <w:rFonts w:hint="eastAsia"/>
          <w:lang w:eastAsia="zh-CN"/>
        </w:rPr>
        <w:t>时可</w:t>
      </w:r>
      <w:r>
        <w:rPr>
          <w:rFonts w:hint="eastAsia"/>
          <w:lang w:val="en-US" w:eastAsia="zh-CN"/>
        </w:rPr>
        <w:t>申请</w:t>
      </w:r>
      <w:r>
        <w:rPr>
          <w:rFonts w:hint="eastAsia"/>
          <w:lang w:eastAsia="zh-CN"/>
        </w:rPr>
        <w:t>免于鉴定：1.研究成果在“三报一刊”（《人民日报》《光明日报》《经济日报》《求是》）发表，篇幅不少于2000字；2.在中文社会科学引文索引（CSSCI）来源期刊发表1篇与项目主题高度相关论文（须挂项目号）；</w:t>
      </w:r>
      <w:r>
        <w:rPr>
          <w:rFonts w:hint="eastAsia"/>
          <w:lang w:val="en-US" w:eastAsia="zh-CN"/>
        </w:rPr>
        <w:t>3.</w:t>
      </w:r>
      <w:r>
        <w:rPr>
          <w:rFonts w:hint="eastAsia"/>
          <w:lang w:eastAsia="zh-CN"/>
        </w:rPr>
        <w:t>决策咨询报告如获厅局级及以上现职领导的肯定性批示，或被厅（局）级及以上党政机关采纳转化为具体政策措施的，也可</w:t>
      </w:r>
      <w:r>
        <w:rPr>
          <w:rFonts w:hint="eastAsia"/>
          <w:lang w:val="en-US" w:eastAsia="zh-CN"/>
        </w:rPr>
        <w:t>申请</w:t>
      </w:r>
      <w:r>
        <w:rPr>
          <w:rFonts w:hint="eastAsia"/>
          <w:lang w:eastAsia="zh-CN"/>
        </w:rPr>
        <w:t>免于鉴定。</w:t>
      </w:r>
    </w:p>
    <w:p w14:paraId="18571162">
      <w:pPr>
        <w:pStyle w:val="2"/>
        <w:rPr>
          <w:rFonts w:hint="eastAsia"/>
          <w:lang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028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16668">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416668">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03C3A"/>
    <w:rsid w:val="042C71E8"/>
    <w:rsid w:val="0D4032E2"/>
    <w:rsid w:val="1030763E"/>
    <w:rsid w:val="126A70B8"/>
    <w:rsid w:val="15874D92"/>
    <w:rsid w:val="16F615E1"/>
    <w:rsid w:val="1D6B6159"/>
    <w:rsid w:val="254F201A"/>
    <w:rsid w:val="2B4B625D"/>
    <w:rsid w:val="2F195C67"/>
    <w:rsid w:val="3F0B4C4E"/>
    <w:rsid w:val="47AA0C6D"/>
    <w:rsid w:val="48940694"/>
    <w:rsid w:val="4D8C6A55"/>
    <w:rsid w:val="50474C83"/>
    <w:rsid w:val="508846DC"/>
    <w:rsid w:val="52E1499D"/>
    <w:rsid w:val="537C437E"/>
    <w:rsid w:val="555667CB"/>
    <w:rsid w:val="57B80A68"/>
    <w:rsid w:val="58B55EFF"/>
    <w:rsid w:val="5C4D329E"/>
    <w:rsid w:val="5E0F7E5F"/>
    <w:rsid w:val="625D1E54"/>
    <w:rsid w:val="64A864B1"/>
    <w:rsid w:val="67911D22"/>
    <w:rsid w:val="69A60208"/>
    <w:rsid w:val="6F3742B2"/>
    <w:rsid w:val="700F5B8F"/>
    <w:rsid w:val="7251239D"/>
    <w:rsid w:val="74E41BEE"/>
    <w:rsid w:val="79CB0C87"/>
    <w:rsid w:val="7E703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6">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7">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8">
    <w:name w:val="heading 3"/>
    <w:basedOn w:val="1"/>
    <w:next w:val="1"/>
    <w:semiHidden/>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ind w:left="230"/>
      <w:jc w:val="both"/>
    </w:pPr>
    <w:rPr>
      <w:rFonts w:ascii="Arial Unicode MS" w:hAnsi="Arial Unicode MS" w:eastAsia="Arial Unicode MS" w:cs="Arial Unicode MS"/>
      <w:kern w:val="2"/>
      <w:sz w:val="32"/>
      <w:szCs w:val="32"/>
      <w:lang w:val="en-US" w:eastAsia="zh-CN" w:bidi="ar-SA"/>
    </w:rPr>
  </w:style>
  <w:style w:type="paragraph" w:styleId="3">
    <w:name w:val="Body Text First Indent 2"/>
    <w:basedOn w:val="4"/>
    <w:next w:val="1"/>
    <w:qFormat/>
    <w:uiPriority w:val="0"/>
    <w:pPr>
      <w:widowControl w:val="0"/>
      <w:spacing w:after="120"/>
      <w:ind w:left="420" w:leftChars="200" w:firstLine="210"/>
      <w:jc w:val="both"/>
    </w:pPr>
    <w:rPr>
      <w:rFonts w:ascii="Calibri" w:hAnsi="Calibri" w:eastAsia="宋体" w:cs="Times New Roman"/>
      <w:kern w:val="2"/>
      <w:sz w:val="21"/>
      <w:szCs w:val="24"/>
      <w:lang w:val="en-US" w:eastAsia="zh-CN" w:bidi="ar-SA"/>
    </w:rPr>
  </w:style>
  <w:style w:type="paragraph" w:styleId="4">
    <w:name w:val="Body Text Indent"/>
    <w:basedOn w:val="1"/>
    <w:next w:val="5"/>
    <w:qFormat/>
    <w:uiPriority w:val="0"/>
    <w:pPr>
      <w:widowControl w:val="0"/>
      <w:spacing w:after="120"/>
      <w:ind w:left="420" w:leftChars="200"/>
      <w:jc w:val="both"/>
    </w:pPr>
    <w:rPr>
      <w:rFonts w:ascii="Calibri" w:hAnsi="Calibri" w:eastAsia="宋体" w:cs="Times New Roman"/>
      <w:snapToGrid/>
      <w:kern w:val="2"/>
      <w:sz w:val="21"/>
      <w:szCs w:val="24"/>
      <w:lang w:val="en-US" w:eastAsia="zh-CN" w:bidi="ar-SA"/>
    </w:rPr>
  </w:style>
  <w:style w:type="paragraph" w:styleId="5">
    <w:name w:val="Balloon Text"/>
    <w:basedOn w:val="1"/>
    <w:next w:val="1"/>
    <w:qFormat/>
    <w:uiPriority w:val="0"/>
    <w:rPr>
      <w:rFonts w:ascii="Calibri" w:hAnsi="Calibri" w:eastAsia="宋体" w:cs="Times New Roman"/>
      <w:snapToGrid/>
      <w:kern w:val="2"/>
      <w:sz w:val="18"/>
      <w:szCs w:val="18"/>
    </w:rPr>
  </w:style>
  <w:style w:type="paragraph" w:styleId="9">
    <w:name w:val="annotation text"/>
    <w:basedOn w:val="1"/>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Normal Indent1"/>
    <w:qFormat/>
    <w:uiPriority w:val="0"/>
    <w:pPr>
      <w:widowControl w:val="0"/>
      <w:ind w:firstLine="88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1081</Words>
  <Characters>1120</Characters>
  <Lines>0</Lines>
  <Paragraphs>0</Paragraphs>
  <TotalTime>1</TotalTime>
  <ScaleCrop>false</ScaleCrop>
  <LinksUpToDate>false</LinksUpToDate>
  <CharactersWithSpaces>1120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2025-05-20T08:04:00Z</dcterms:created>
  <dc:creator>spartaceftt</dc:creator>
  <cp:lastModifiedBy>spartaceftt</cp:lastModifiedBy>
  <cp:lastPrinted>2025-05-29T07:23:00Z</cp:lastPrinted>
  <dcterms:modified xsi:type="dcterms:W3CDTF">2026-05-06T07:07:31Z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F9513A01FB5548B4BAD9CFD1E1BCFF2C_11</vt:lpwstr>
  </property>
  <property fmtid="{D5CDD505-2E9C-101B-9397-08002B2CF9AE}" pid="4" name="KSOTemplateDocerSaveRecord">
    <vt:lpwstr>eyJoZGlkIjoiNzdmY2I2ZDU1YWUzOGZlMmIyOTc4MmExMjJhMTUxMDEiLCJ1c2VySWQiOiI0NTU4NzI5MjYifQ==</vt:lpwstr>
  </property>
</Properties>
</file>